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0"/>
    <w:p>
      <w:pPr>
        <w:pStyle w:val="Heading1"/>
      </w:pPr>
      <w:r>
        <w:t xml:space="preserve">Homiletics Analysis: 1 Corinthians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10 opens with a typological argument drawn from Israel’s wilderness history (vv. 1–13). Paul reminds the Corinthian church that their spiritual ancestors enjoyed the same covenant privileges they do — cloud, sea-crossing, manna, water from the rock — yet the majority fell under divine judgment because of idolatry, sexual immorality, testing the Lord, and grumbling. These events were written down as warnings for those on whom the end of the ages has come. Paul then pivots to a direct prohibition and theological argument concerning idol food (vv. 14–22): the Lord’s Table involves genuine communion with Christ’s body and blood; the idol’s table involves genuine communion with demons; one cannot share in both. The chapter closes (vv. 23–33) by returning to the principle introduced in chapter 8 —</w:t>
      </w:r>
      <w:r>
        <w:t xml:space="preserve"> </w:t>
      </w:r>
      <w:r>
        <w:t xml:space="preserve">“all things are lawful”</w:t>
      </w:r>
      <w:r>
        <w:t xml:space="preserve"> </w:t>
      </w:r>
      <w:r>
        <w:t xml:space="preserve">— and applies it with a double concern: the good of the other person and the glory of God, resolving the practical question of whether to eat meat sold in the marketplace or served in a pagan’s home.</w:t>
      </w:r>
    </w:p>
    <w:p>
      <w:pPr>
        <w:pStyle w:val="BodyText"/>
      </w:pPr>
      <w:r>
        <w:rPr>
          <w:b/>
          <w:bCs/>
        </w:rPr>
        <w:t xml:space="preserve">This Text — Intent:</w:t>
      </w:r>
    </w:p>
    <w:p>
      <w:pPr>
        <w:pStyle w:val="BodyText"/>
      </w:pPr>
      <w:r>
        <w:t xml:space="preserve">God is seeking to arrest the Corinthian church’s drift toward presumption — the dangerous assumption that spiritual privilege guarantees spiritual security. The wilderness typology is not merely instructive; it is a warning designed to produce holy fear. But the warning is held together by grace: the faithfulness of God who provides a way of escape (v. 13) and whose glory is the governing aim of all conduct (v. 31). God intends this passage to produce a community that takes idolatry with deadly seriousness, handles Christian freedom with sober responsibility, and directs every act — eating, drinking, all of it — toward the glory of the One who has already provided everything necessary to stand.</w:t>
      </w:r>
    </w:p>
    <w:p>
      <w:r>
        <w:pict>
          <v:rect style="width:0;height:1.5pt" o:hralign="center" o:hrstd="t" o:hr="t"/>
        </w:pict>
      </w:r>
    </w:p>
    <w:p>
      <w:pPr>
        <w:pStyle w:val="FirstParagraph"/>
      </w:pPr>
      <w:r>
        <w:rPr>
          <w:b/>
          <w:bCs/>
        </w:rPr>
        <w:t xml:space="preserve">Subject Sentence:</w:t>
      </w:r>
      <w:r>
        <w:t xml:space="preserve"> </w:t>
      </w:r>
      <w:r>
        <w:t xml:space="preserve">Israel’s wilderness failures warn the church: spiritual privilege never guarantees spiritual security.</w:t>
      </w:r>
    </w:p>
    <w:p>
      <w:r>
        <w:pict>
          <v:rect style="width:0;height:1.5pt" o:hralign="center" o:hrstd="t" o:hr="t"/>
        </w:pict>
      </w:r>
    </w:p>
    <w:p>
      <w:pPr>
        <w:pStyle w:val="FirstParagraph"/>
      </w:pPr>
      <w:r>
        <w:rPr>
          <w:b/>
          <w:bCs/>
        </w:rPr>
        <w:t xml:space="preserve">Primary Claim:</w:t>
      </w:r>
      <w:r>
        <w:t xml:space="preserve"> </w:t>
      </w:r>
      <w:r>
        <w:t xml:space="preserve">God is confronting the church’s presumption — calling His people to take idolatry seriously, handle freedom responsibly, and live every moment for His glory, confident not in their own standing but in His faithfulness to provide a way through.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“all things are lawful”</w:t>
      </w:r>
      <w:r>
        <w:rPr>
          <w:b/>
          <w:bCs/>
        </w:rPr>
        <w:t xml:space="preserve"> </w:t>
      </w:r>
      <w:r>
        <w:rPr>
          <w:b/>
          <w:bCs/>
        </w:rPr>
        <w:t xml:space="preserve">principle (vv. 23–33) and its scope:</w:t>
      </w:r>
      <w:r>
        <w:t xml:space="preserve"> </w:t>
      </w:r>
      <w:r>
        <w:t xml:space="preserve">A recurring interpretive debate concerns whether Paul is quoting a Corinthian slogan (</w:t>
      </w:r>
      <w:r>
        <w:t xml:space="preserve">“all things are lawful”</w:t>
      </w:r>
      <w:r>
        <w:t xml:space="preserve">) in order to qualify it, or whether he is himself affirming a principle and then hedging it. The Reformed reading, supported by the parallel in 1 Corinthians 6:12, is that Paul is engaging a Corinthian slogan — likely a distortion of his own teaching on freedom from the Mosaic ceremonial law — and redirecting it. This reading is strongly preferred because Paul immediately undermines the slogan with two qualifications (</w:t>
      </w:r>
      <w:r>
        <w:t xml:space="preserve">“but not all things are helpful,”</w:t>
      </w:r>
      <w:r>
        <w:t xml:space="preserve"> </w:t>
      </w:r>
      <w:r>
        <w:t xml:space="preserve">“but not all things build up”</w:t>
      </w:r>
      <w:r>
        <w:t xml:space="preserve">) that would be incoherent if Paul were simply affirming freedom and then moderating it. The slogan is being</w:t>
      </w:r>
      <w:r>
        <w:t xml:space="preserve"> </w:t>
      </w:r>
      <w:r>
        <w:rPr>
          <w:i/>
          <w:iCs/>
        </w:rPr>
        <w:t xml:space="preserve">qualified</w:t>
      </w:r>
      <w:r>
        <w:t xml:space="preserve">, not endorsed. Dispensationalist readers sometimes treat this section as pure freedom principle with mild social application. The Reformed reading insists the qualifications are the point — freedom is real, but it is not the highest value; the glory of God and the building up of the body are.</w:t>
      </w:r>
    </w:p>
    <w:p>
      <w:pPr>
        <w:pStyle w:val="BodyText"/>
      </w:pPr>
      <w:r>
        <w:rPr>
          <w:b/>
          <w:bCs/>
        </w:rPr>
        <w:t xml:space="preserve">The nature of</w:t>
      </w:r>
      <w:r>
        <w:rPr>
          <w:b/>
          <w:bCs/>
        </w:rPr>
        <w:t xml:space="preserve"> </w:t>
      </w:r>
      <w:r>
        <w:rPr>
          <w:b/>
          <w:bCs/>
        </w:rPr>
        <w:t xml:space="preserve">“communion with demons”</w:t>
      </w:r>
      <w:r>
        <w:rPr>
          <w:b/>
          <w:bCs/>
        </w:rPr>
        <w:t xml:space="preserve"> </w:t>
      </w:r>
      <w:r>
        <w:rPr>
          <w:b/>
          <w:bCs/>
        </w:rPr>
        <w:t xml:space="preserve">(vv. 19–21):</w:t>
      </w:r>
      <w:r>
        <w:t xml:space="preserve"> </w:t>
      </w:r>
      <w:r>
        <w:t xml:space="preserve">Some traditions, particularly Pentecostal and charismatic interpreters, read verse 20 (</w:t>
      </w:r>
      <w:r>
        <w:t xml:space="preserve">“they sacrifice to demons”</w:t>
      </w:r>
      <w:r>
        <w:t xml:space="preserve">) as an active demonic power-encounter framework — idolatry as a gateway to demonic oppression or possession. The Reformed reading does not dismiss the reality of spiritual forces at idol shrines, but locates the primary danger in covenant infidelity: the issue is not primarily what demons can do to you, but what participating at the idol’s table does to your communion with Christ. Paul’s argument is covenantal and Eucharistic: the Lord’s Table and the demon’s table are both real participations, and they are mutually exclusive because of what each communion entails, not simply because of demonic danger to the individual. The Pentecostal reading, while not entirely wrong about demonic reality (Paul does affirm that something real happens at the idol’s table), over-indexes on the individual protection dimension and under-weights the covenantal betrayal dimension.</w:t>
      </w:r>
    </w:p>
    <w:p>
      <w:pPr>
        <w:pStyle w:val="BodyText"/>
      </w:pPr>
      <w:r>
        <w:rPr>
          <w:b/>
          <w:bCs/>
        </w:rPr>
        <w:t xml:space="preserve">Israel as</w:t>
      </w:r>
      <w:r>
        <w:rPr>
          <w:b/>
          <w:bCs/>
        </w:rPr>
        <w:t xml:space="preserve"> </w:t>
      </w:r>
      <w:r>
        <w:rPr>
          <w:b/>
          <w:bCs/>
        </w:rPr>
        <w:t xml:space="preserve">“our fathers”</w:t>
      </w:r>
      <w:r>
        <w:rPr>
          <w:b/>
          <w:bCs/>
        </w:rPr>
        <w:t xml:space="preserve"> </w:t>
      </w:r>
      <w:r>
        <w:rPr>
          <w:b/>
          <w:bCs/>
        </w:rPr>
        <w:t xml:space="preserve">— typology and its scope:</w:t>
      </w:r>
      <w:r>
        <w:t xml:space="preserve"> </w:t>
      </w:r>
      <w:r>
        <w:t xml:space="preserve">Some dispensational readings restrict the application of the wilderness typology to Israel proper, treating</w:t>
      </w:r>
      <w:r>
        <w:t xml:space="preserve"> </w:t>
      </w:r>
      <w:r>
        <w:t xml:space="preserve">“our fathers”</w:t>
      </w:r>
      <w:r>
        <w:t xml:space="preserve"> </w:t>
      </w:r>
      <w:r>
        <w:t xml:space="preserve">as a reference to Jewish-Christian Corinthians or as a backward-looking warning about what could happen under the Mosaic economy. This is not sustained by the text. Paul says these things were written</w:t>
      </w:r>
      <w:r>
        <w:t xml:space="preserve"> </w:t>
      </w:r>
      <w:r>
        <w:t xml:space="preserve">“for our instruction”</w:t>
      </w:r>
      <w:r>
        <w:t xml:space="preserve"> </w:t>
      </w:r>
      <w:r>
        <w:t xml:space="preserve">(v. 11) and</w:t>
      </w:r>
      <w:r>
        <w:t xml:space="preserve"> </w:t>
      </w:r>
      <w:r>
        <w:t xml:space="preserve">“as examples for us”</w:t>
      </w:r>
      <w:r>
        <w:t xml:space="preserve"> </w:t>
      </w:r>
      <w:r>
        <w:t xml:space="preserve">(v. 6). The</w:t>
      </w:r>
      <w:r>
        <w:t xml:space="preserve"> </w:t>
      </w:r>
      <w:r>
        <w:t xml:space="preserve">“us”</w:t>
      </w:r>
      <w:r>
        <w:t xml:space="preserve"> </w:t>
      </w:r>
      <w:r>
        <w:t xml:space="preserve">is the church as the true covenant people, not ethnic Israel. The Reformed typological reading — that Israel in the wilderness functions as a type of the church in the present age — is explicitly grounded in Paul’s own hermeneutic here. The Rock was Christ (v. 4); the church participates in Christ; the warnings are therefore to the church. The typological connection is not imposed; it is Paul’s own exegetical move.</w:t>
      </w:r>
    </w:p>
    <w:p>
      <w:pPr>
        <w:pStyle w:val="BodyText"/>
      </w:pPr>
      <w:r>
        <w:rPr>
          <w:b/>
          <w:bCs/>
        </w:rPr>
        <w:t xml:space="preserve">“The rock was Christ”</w:t>
      </w:r>
      <w:r>
        <w:rPr>
          <w:b/>
          <w:bCs/>
        </w:rPr>
        <w:t xml:space="preserve"> </w:t>
      </w:r>
      <w:r>
        <w:rPr>
          <w:b/>
          <w:bCs/>
        </w:rPr>
        <w:t xml:space="preserve">(v. 4):</w:t>
      </w:r>
      <w:r>
        <w:t xml:space="preserve"> </w:t>
      </w:r>
      <w:r>
        <w:t xml:space="preserve">This verse generates debate about the degree of typological identification Paul intends. Some limit it to functional typology (the rock</w:t>
      </w:r>
      <w:r>
        <w:t xml:space="preserve"> </w:t>
      </w:r>
      <w:r>
        <w:rPr>
          <w:i/>
          <w:iCs/>
        </w:rPr>
        <w:t xml:space="preserve">functioned like</w:t>
      </w:r>
      <w:r>
        <w:t xml:space="preserve"> </w:t>
      </w:r>
      <w:r>
        <w:t xml:space="preserve">Christ). Others, particularly in the patristic and Reformed tradition, take it as genuine pre-incarnate presence (the rock</w:t>
      </w:r>
      <w:r>
        <w:t xml:space="preserve"> </w:t>
      </w:r>
      <w:r>
        <w:rPr>
          <w:i/>
          <w:iCs/>
        </w:rPr>
        <w:t xml:space="preserve">was</w:t>
      </w:r>
      <w:r>
        <w:t xml:space="preserve"> </w:t>
      </w:r>
      <w:r>
        <w:t xml:space="preserve">Christ — the pre-existent Son providing sustenance in the wilderness). The Reformed reading prefers the stronger identification: Paul’s point requires genuine Christological continuity across the testaments, not merely functional analogy. The covenant community in both testaments depended on Christ; that is why the Corinthians’ presumption is so dangerous — they are no better positioned than Israel was, and they have the same source of sustenance and the same risk of judgment.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14:1–35; 21:4–9; 25:1–9</w:t>
      </w:r>
      <w:r>
        <w:t xml:space="preserve"> </w:t>
      </w:r>
      <w:r>
        <w:t xml:space="preserve">— The specific wilderness episodes Paul draws on: the grumbling, the serpents, and Baal-Peor. Paul’s typological argument has specific historical referents, and knowing them deepens the weight of the warning. Israel fell in the very place the Corinthians think they are safe.</w:t>
      </w:r>
    </w:p>
    <w:p>
      <w:pPr>
        <w:numPr>
          <w:ilvl w:val="0"/>
          <w:numId w:val="1001"/>
        </w:numPr>
      </w:pPr>
      <w:r>
        <w:rPr>
          <w:b/>
          <w:bCs/>
        </w:rPr>
        <w:t xml:space="preserve">Deuteronomy 32:15–21 (the Song of Moses)</w:t>
      </w:r>
      <w:r>
        <w:t xml:space="preserve"> </w:t>
      </w:r>
      <w:r>
        <w:t xml:space="preserve">— The</w:t>
      </w:r>
      <w:r>
        <w:t xml:space="preserve"> </w:t>
      </w:r>
      <w:r>
        <w:t xml:space="preserve">“provoking to jealousy”</w:t>
      </w:r>
      <w:r>
        <w:t xml:space="preserve"> </w:t>
      </w:r>
      <w:r>
        <w:t xml:space="preserve">language of verse 22 draws directly from Moses’ song: Israel provoked God to jealousy with</w:t>
      </w:r>
      <w:r>
        <w:t xml:space="preserve"> </w:t>
      </w:r>
      <w:r>
        <w:t xml:space="preserve">“no-gods,”</w:t>
      </w:r>
      <w:r>
        <w:t xml:space="preserve"> </w:t>
      </w:r>
      <w:r>
        <w:t xml:space="preserve">and God responded in kind. Paul’s warning that the Corinthians not</w:t>
      </w:r>
      <w:r>
        <w:t xml:space="preserve"> </w:t>
      </w:r>
      <w:r>
        <w:t xml:space="preserve">“provoke the Lord to jealousy”</w:t>
      </w:r>
      <w:r>
        <w:t xml:space="preserve"> </w:t>
      </w:r>
      <w:r>
        <w:t xml:space="preserve">is not metaphor — it is a covenantal category with deep Old Testament grounding.</w:t>
      </w:r>
    </w:p>
    <w:p>
      <w:pPr>
        <w:numPr>
          <w:ilvl w:val="0"/>
          <w:numId w:val="1001"/>
        </w:numPr>
      </w:pPr>
      <w:r>
        <w:rPr>
          <w:b/>
          <w:bCs/>
        </w:rPr>
        <w:t xml:space="preserve">John 6:48–58</w:t>
      </w:r>
      <w:r>
        <w:t xml:space="preserve"> </w:t>
      </w:r>
      <w:r>
        <w:t xml:space="preserve">— The Bread of Life discourse grounds the Eucharistic theology underlying verses 16–17. To eat and drink of Christ is genuine participation in His body and blood; the Lord’s Table is not symbolic ceremony but covenantal union. This illuminates why the idol’s table is so serious — it is a competing participation.</w:t>
      </w:r>
    </w:p>
    <w:p>
      <w:pPr>
        <w:numPr>
          <w:ilvl w:val="0"/>
          <w:numId w:val="1001"/>
        </w:numPr>
      </w:pPr>
      <w:r>
        <w:rPr>
          <w:b/>
          <w:bCs/>
        </w:rPr>
        <w:t xml:space="preserve">Romans 15:4</w:t>
      </w:r>
      <w:r>
        <w:t xml:space="preserve"> </w:t>
      </w:r>
      <w:r>
        <w:t xml:space="preserve">—</w:t>
      </w:r>
      <w:r>
        <w:t xml:space="preserve"> </w:t>
      </w:r>
      <w:r>
        <w:t xml:space="preserve">“Whatever was written in former days was written for our instruction, that through endurance and through the encouragement of the Scriptures we might have hope.”</w:t>
      </w:r>
      <w:r>
        <w:t xml:space="preserve"> </w:t>
      </w:r>
      <w:r>
        <w:t xml:space="preserve">Paul’s hermeneutical principle in 1 Corinthians 10 is not unique to this passage; it reflects his consistent reading strategy that Old Testament narrative is canonical instruction for the church.</w:t>
      </w:r>
    </w:p>
    <w:p>
      <w:pPr>
        <w:numPr>
          <w:ilvl w:val="0"/>
          <w:numId w:val="1001"/>
        </w:numPr>
      </w:pPr>
      <w:r>
        <w:rPr>
          <w:b/>
          <w:bCs/>
        </w:rPr>
        <w:t xml:space="preserve">Hebrews 3:7–4:11</w:t>
      </w:r>
      <w:r>
        <w:t xml:space="preserve"> </w:t>
      </w:r>
      <w:r>
        <w:t xml:space="preserve">— The same typological move, applied to the same wilderness generation, with the same pastoral concern:</w:t>
      </w:r>
      <w:r>
        <w:t xml:space="preserve"> </w:t>
      </w:r>
      <w:r>
        <w:t xml:space="preserve">“take care, brothers, lest there be in any of you an evil, unbelieving heart.”</w:t>
      </w:r>
      <w:r>
        <w:t xml:space="preserve"> </w:t>
      </w:r>
      <w:r>
        <w:t xml:space="preserve">The Hebrews passage extends and deepens 1 Corinthians 10’s warning, grounding it in the Sabbath-rest typology and applying it to perseverance in faith.</w:t>
      </w:r>
    </w:p>
    <w:p>
      <w:r>
        <w:pict>
          <v:rect style="width:0;height:1.5pt" o:hralign="center" o:hrstd="t" o:hr="t"/>
        </w:pict>
      </w:r>
    </w:p>
    <w:p>
      <w:pPr>
        <w:pStyle w:val="FirstParagraph"/>
      </w:pPr>
      <w:r>
        <w:rPr>
          <w:b/>
          <w:bCs/>
        </w:rPr>
        <w:t xml:space="preserve">Aim:</w:t>
      </w:r>
      <w:r>
        <w:t xml:space="preserve"> </w:t>
      </w:r>
      <w:r>
        <w:t xml:space="preserve">To expose the presumption that spiritual privilege confers immunity, restore holy fear grounded in God’s faithfulness, and equip readers to pursue God’s glory in every ordinary act.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“Our fathers”</w:t>
            </w:r>
            <w:r>
              <w:t xml:space="preserve"> </w:t>
            </w:r>
            <w:r>
              <w:t xml:space="preserve">were all under the cloud, passed through the sea, were baptized into Moses</w:t>
            </w:r>
          </w:p>
        </w:tc>
        <w:tc>
          <w:tcPr/>
          <w:p>
            <w:pPr>
              <w:pStyle w:val="Compact"/>
            </w:pPr>
            <w:r>
              <w:t xml:space="preserve">Typological identification: Israel’s covenant privileges parallel the church’s;</w:t>
            </w:r>
            <w:r>
              <w:t xml:space="preserve"> </w:t>
            </w:r>
            <w:r>
              <w:t xml:space="preserve">“our fathers”</w:t>
            </w:r>
            <w:r>
              <w:t xml:space="preserve"> </w:t>
            </w:r>
            <w:r>
              <w:t xml:space="preserve">claims Israel’s history as the church’s own</w:t>
            </w:r>
          </w:p>
        </w:tc>
      </w:tr>
      <w:tr>
        <w:tc>
          <w:tcPr/>
          <w:p>
            <w:pPr>
              <w:pStyle w:val="Compact"/>
            </w:pPr>
            <w:r>
              <w:t xml:space="preserve">3–4</w:t>
            </w:r>
          </w:p>
        </w:tc>
        <w:tc>
          <w:tcPr/>
          <w:p>
            <w:pPr>
              <w:pStyle w:val="Compact"/>
            </w:pPr>
            <w:r>
              <w:t xml:space="preserve">All ate the same spiritual food, drank from the same spiritual rock — and the rock was Christ</w:t>
            </w:r>
          </w:p>
        </w:tc>
        <w:tc>
          <w:tcPr/>
          <w:p>
            <w:pPr>
              <w:pStyle w:val="Compact"/>
            </w:pPr>
            <w:r>
              <w:t xml:space="preserve">“Spiritual”</w:t>
            </w:r>
            <w:r>
              <w:t xml:space="preserve"> </w:t>
            </w:r>
            <w:r>
              <w:t xml:space="preserve">(pneumatikos) = conveying supernatural grace, not merely material;</w:t>
            </w:r>
            <w:r>
              <w:t xml:space="preserve"> </w:t>
            </w:r>
            <w:r>
              <w:t xml:space="preserve">“the rock was Christ”</w:t>
            </w:r>
            <w:r>
              <w:t xml:space="preserve"> </w:t>
            </w:r>
            <w:r>
              <w:t xml:space="preserve">— strongest statement of pre-incarnate covenant presence</w:t>
            </w:r>
          </w:p>
        </w:tc>
      </w:tr>
      <w:tr>
        <w:tc>
          <w:tcPr/>
          <w:p>
            <w:pPr>
              <w:pStyle w:val="Compact"/>
            </w:pPr>
            <w:r>
              <w:t xml:space="preserve">5</w:t>
            </w:r>
          </w:p>
        </w:tc>
        <w:tc>
          <w:tcPr/>
          <w:p>
            <w:pPr>
              <w:pStyle w:val="Compact"/>
            </w:pPr>
            <w:r>
              <w:t xml:space="preserve">God was not pleased with most; their bodies were scattered in the wilderness</w:t>
            </w:r>
          </w:p>
        </w:tc>
        <w:tc>
          <w:tcPr/>
          <w:p>
            <w:pPr>
              <w:pStyle w:val="Compact"/>
            </w:pPr>
            <w:r>
              <w:t xml:space="preserve">The sting: identical privilege, catastrophic outcome;</w:t>
            </w:r>
            <w:r>
              <w:t xml:space="preserve"> </w:t>
            </w:r>
            <w:r>
              <w:t xml:space="preserve">“most”</w:t>
            </w:r>
            <w:r>
              <w:t xml:space="preserve"> </w:t>
            </w:r>
            <w:r>
              <w:t xml:space="preserve">is understatement — only two of the exodus generation (Caleb and Joshua) entered</w:t>
            </w:r>
          </w:p>
        </w:tc>
      </w:tr>
      <w:tr>
        <w:tc>
          <w:tcPr/>
          <w:p>
            <w:pPr>
              <w:pStyle w:val="Compact"/>
            </w:pPr>
            <w:r>
              <w:t xml:space="preserve">6</w:t>
            </w:r>
          </w:p>
        </w:tc>
        <w:tc>
          <w:tcPr/>
          <w:p>
            <w:pPr>
              <w:pStyle w:val="Compact"/>
            </w:pPr>
            <w:r>
              <w:t xml:space="preserve">These things were examples (typoi) for us, that we might not desire evil as they did</w:t>
            </w:r>
          </w:p>
        </w:tc>
        <w:tc>
          <w:tcPr/>
          <w:p>
            <w:pPr>
              <w:pStyle w:val="Compact"/>
            </w:pPr>
            <w:r>
              <w:t xml:space="preserve">Paul names his hermeneutical method: typology; the warning is prospective for the church</w:t>
            </w:r>
          </w:p>
        </w:tc>
      </w:tr>
      <w:tr>
        <w:tc>
          <w:tcPr/>
          <w:p>
            <w:pPr>
              <w:pStyle w:val="Compact"/>
            </w:pPr>
            <w:r>
              <w:t xml:space="preserve">7</w:t>
            </w:r>
          </w:p>
        </w:tc>
        <w:tc>
          <w:tcPr/>
          <w:p>
            <w:pPr>
              <w:pStyle w:val="Compact"/>
            </w:pPr>
            <w:r>
              <w:t xml:space="preserve">Do not be idolaters — citing Exodus 32:6 (golden calf)</w:t>
            </w:r>
          </w:p>
        </w:tc>
        <w:tc>
          <w:tcPr/>
          <w:p>
            <w:pPr>
              <w:pStyle w:val="Compact"/>
            </w:pPr>
            <w:r>
              <w:t xml:space="preserve">First specific sin: idolatry, introduced with a direct citation from the golden calf episode</w:t>
            </w:r>
          </w:p>
        </w:tc>
      </w:tr>
      <w:tr>
        <w:tc>
          <w:tcPr/>
          <w:p>
            <w:pPr>
              <w:pStyle w:val="Compact"/>
            </w:pPr>
            <w:r>
              <w:t xml:space="preserve">8</w:t>
            </w:r>
          </w:p>
        </w:tc>
        <w:tc>
          <w:tcPr/>
          <w:p>
            <w:pPr>
              <w:pStyle w:val="Compact"/>
            </w:pPr>
            <w:r>
              <w:t xml:space="preserve">Do not indulge in sexual immorality — twenty-three thousand fell in one day</w:t>
            </w:r>
          </w:p>
        </w:tc>
        <w:tc>
          <w:tcPr/>
          <w:p>
            <w:pPr>
              <w:pStyle w:val="Compact"/>
            </w:pPr>
            <w:r>
              <w:t xml:space="preserve">Numbers 25: Baal-Peor; Paul’s number (23,000) differs from Numbers’ 24,000 — various explanations proposed; the scope is the point</w:t>
            </w:r>
          </w:p>
        </w:tc>
      </w:tr>
      <w:tr>
        <w:tc>
          <w:tcPr/>
          <w:p>
            <w:pPr>
              <w:pStyle w:val="Compact"/>
            </w:pPr>
            <w:r>
              <w:t xml:space="preserve">9</w:t>
            </w:r>
          </w:p>
        </w:tc>
        <w:tc>
          <w:tcPr/>
          <w:p>
            <w:pPr>
              <w:pStyle w:val="Compact"/>
            </w:pPr>
            <w:r>
              <w:t xml:space="preserve">Do not put Christ to the Lord to the test — they were destroyed by serpents</w:t>
            </w:r>
          </w:p>
        </w:tc>
        <w:tc>
          <w:tcPr/>
          <w:p>
            <w:pPr>
              <w:pStyle w:val="Compact"/>
            </w:pPr>
            <w:r>
              <w:t xml:space="preserve">Numbers 21:4–9; Paul’s identification of</w:t>
            </w:r>
            <w:r>
              <w:t xml:space="preserve"> </w:t>
            </w:r>
            <w:r>
              <w:t xml:space="preserve">“the Lord”</w:t>
            </w:r>
            <w:r>
              <w:t xml:space="preserve"> </w:t>
            </w:r>
            <w:r>
              <w:t xml:space="preserve">being tested as Christ is a significant Christological claim</w:t>
            </w:r>
          </w:p>
        </w:tc>
      </w:tr>
      <w:tr>
        <w:tc>
          <w:tcPr/>
          <w:p>
            <w:pPr>
              <w:pStyle w:val="Compact"/>
            </w:pPr>
            <w:r>
              <w:t xml:space="preserve">10</w:t>
            </w:r>
          </w:p>
        </w:tc>
        <w:tc>
          <w:tcPr/>
          <w:p>
            <w:pPr>
              <w:pStyle w:val="Compact"/>
            </w:pPr>
            <w:r>
              <w:t xml:space="preserve">Do not grumble — they were destroyed by the Destroyer</w:t>
            </w:r>
          </w:p>
        </w:tc>
        <w:tc>
          <w:tcPr/>
          <w:p>
            <w:pPr>
              <w:pStyle w:val="Compact"/>
            </w:pPr>
            <w:r>
              <w:t xml:space="preserve">Numbers 14 or 16;</w:t>
            </w:r>
            <w:r>
              <w:t xml:space="preserve"> </w:t>
            </w:r>
            <w:r>
              <w:t xml:space="preserve">“Destroyer”</w:t>
            </w:r>
            <w:r>
              <w:t xml:space="preserve"> </w:t>
            </w:r>
            <w:r>
              <w:t xml:space="preserve">likely refers to the angel of judgment; grumbling is not a minor sin — it carries covenant weight</w:t>
            </w:r>
          </w:p>
        </w:tc>
      </w:tr>
      <w:tr>
        <w:tc>
          <w:tcPr/>
          <w:p>
            <w:pPr>
              <w:pStyle w:val="Compact"/>
            </w:pPr>
            <w:r>
              <w:t xml:space="preserve">11</w:t>
            </w:r>
          </w:p>
        </w:tc>
        <w:tc>
          <w:tcPr/>
          <w:p>
            <w:pPr>
              <w:pStyle w:val="Compact"/>
            </w:pPr>
            <w:r>
              <w:t xml:space="preserve">These things happened as examples (typikōs) and were written for our instruction —</w:t>
            </w:r>
            <w:r>
              <w:t xml:space="preserve"> </w:t>
            </w:r>
            <w:r>
              <w:t xml:space="preserve">“on whom the end of the ages has come”</w:t>
            </w:r>
          </w:p>
        </w:tc>
        <w:tc>
          <w:tcPr/>
          <w:p>
            <w:pPr>
              <w:pStyle w:val="Compact"/>
            </w:pPr>
            <w:r>
              <w:t xml:space="preserve">The eschatological urgency: the church lives at the climax of redemptive history; the stakes are highest here</w:t>
            </w:r>
          </w:p>
        </w:tc>
      </w:tr>
      <w:tr>
        <w:tc>
          <w:tcPr/>
          <w:p>
            <w:pPr>
              <w:pStyle w:val="Compact"/>
            </w:pPr>
            <w:r>
              <w:t xml:space="preserve">12</w:t>
            </w:r>
          </w:p>
        </w:tc>
        <w:tc>
          <w:tcPr/>
          <w:p>
            <w:pPr>
              <w:pStyle w:val="Compact"/>
            </w:pPr>
            <w:r>
              <w:t xml:space="preserve">“Let anyone who thinks he stands take heed lest he fall”</w:t>
            </w:r>
          </w:p>
        </w:tc>
        <w:tc>
          <w:tcPr/>
          <w:p>
            <w:pPr>
              <w:pStyle w:val="Compact"/>
            </w:pPr>
            <w:r>
              <w:t xml:space="preserve">The pastoral application of the typology: overconfidence is the precise danger; presumption precedes the fall</w:t>
            </w:r>
          </w:p>
        </w:tc>
      </w:tr>
      <w:tr>
        <w:tc>
          <w:tcPr/>
          <w:p>
            <w:pPr>
              <w:pStyle w:val="Compact"/>
            </w:pPr>
            <w:r>
              <w:t xml:space="preserve">13</w:t>
            </w:r>
          </w:p>
        </w:tc>
        <w:tc>
          <w:tcPr/>
          <w:p>
            <w:pPr>
              <w:pStyle w:val="Compact"/>
            </w:pPr>
            <w:r>
              <w:t xml:space="preserve">God is faithful; the temptation is not beyond your strength; He will provide a way of escape</w:t>
            </w:r>
          </w:p>
        </w:tc>
        <w:tc>
          <w:tcPr/>
          <w:p>
            <w:pPr>
              <w:pStyle w:val="Compact"/>
            </w:pPr>
            <w:r>
              <w:t xml:space="preserve">The gospel counterweight to the warning: the warning does not produce despair because God’s faithfulness is the anchor;</w:t>
            </w:r>
            <w:r>
              <w:t xml:space="preserve"> </w:t>
            </w:r>
            <w:r>
              <w:t xml:space="preserve">“way of escape”</w:t>
            </w:r>
            <w:r>
              <w:t xml:space="preserve"> </w:t>
            </w:r>
            <w:r>
              <w:t xml:space="preserve">is not avoidance but provision to endure</w:t>
            </w:r>
          </w:p>
        </w:tc>
      </w:tr>
      <w:tr>
        <w:tc>
          <w:tcPr/>
          <w:p>
            <w:pPr>
              <w:pStyle w:val="Compact"/>
            </w:pPr>
            <w:r>
              <w:t xml:space="preserve">14</w:t>
            </w:r>
          </w:p>
        </w:tc>
        <w:tc>
          <w:tcPr/>
          <w:p>
            <w:pPr>
              <w:pStyle w:val="Compact"/>
            </w:pPr>
            <w:r>
              <w:t xml:space="preserve">“Therefore, flee from idolatry”</w:t>
            </w:r>
          </w:p>
        </w:tc>
        <w:tc>
          <w:tcPr/>
          <w:p>
            <w:pPr>
              <w:pStyle w:val="Compact"/>
            </w:pPr>
            <w:r>
              <w:t xml:space="preserve">The direct imperative that the typology has been building toward; the</w:t>
            </w:r>
            <w:r>
              <w:t xml:space="preserve"> </w:t>
            </w:r>
            <w:r>
              <w:t xml:space="preserve">“therefore”</w:t>
            </w:r>
            <w:r>
              <w:t xml:space="preserve"> </w:t>
            </w:r>
            <w:r>
              <w:t xml:space="preserve">is load-bearing</w:t>
            </w:r>
          </w:p>
        </w:tc>
      </w:tr>
      <w:tr>
        <w:tc>
          <w:tcPr/>
          <w:p>
            <w:pPr>
              <w:pStyle w:val="Compact"/>
            </w:pPr>
            <w:r>
              <w:t xml:space="preserve">15</w:t>
            </w:r>
          </w:p>
        </w:tc>
        <w:tc>
          <w:tcPr/>
          <w:p>
            <w:pPr>
              <w:pStyle w:val="Compact"/>
            </w:pPr>
            <w:r>
              <w:t xml:space="preserve">Paul addresses them as</w:t>
            </w:r>
            <w:r>
              <w:t xml:space="preserve"> </w:t>
            </w:r>
            <w:r>
              <w:t xml:space="preserve">“sensible people”</w:t>
            </w:r>
            <w:r>
              <w:t xml:space="preserve"> </w:t>
            </w:r>
            <w:r>
              <w:t xml:space="preserve">— judge for yourselves</w:t>
            </w:r>
          </w:p>
        </w:tc>
        <w:tc>
          <w:tcPr/>
          <w:p>
            <w:pPr>
              <w:pStyle w:val="Compact"/>
            </w:pPr>
            <w:r>
              <w:t xml:space="preserve">Rhetorical: the coming argument should be self-evident to those with covenantal understanding</w:t>
            </w:r>
          </w:p>
        </w:tc>
      </w:tr>
      <w:tr>
        <w:tc>
          <w:tcPr/>
          <w:p>
            <w:pPr>
              <w:pStyle w:val="Compact"/>
            </w:pPr>
            <w:r>
              <w:t xml:space="preserve">16</w:t>
            </w:r>
          </w:p>
        </w:tc>
        <w:tc>
          <w:tcPr/>
          <w:p>
            <w:pPr>
              <w:pStyle w:val="Compact"/>
            </w:pPr>
            <w:r>
              <w:t xml:space="preserve">The cup of blessing = participation (koinōnia) in the blood of Christ; the bread = participation in His body</w:t>
            </w:r>
          </w:p>
        </w:tc>
        <w:tc>
          <w:tcPr/>
          <w:p>
            <w:pPr>
              <w:pStyle w:val="Compact"/>
            </w:pPr>
            <w:r>
              <w:t xml:space="preserve">Eucharistic theology: koinōnia is genuine covenantal sharing, not symbolic identification</w:t>
            </w:r>
          </w:p>
        </w:tc>
      </w:tr>
      <w:tr>
        <w:tc>
          <w:tcPr/>
          <w:p>
            <w:pPr>
              <w:pStyle w:val="Compact"/>
            </w:pPr>
            <w:r>
              <w:t xml:space="preserve">17</w:t>
            </w:r>
          </w:p>
        </w:tc>
        <w:tc>
          <w:tcPr/>
          <w:p>
            <w:pPr>
              <w:pStyle w:val="Compact"/>
            </w:pPr>
            <w:r>
              <w:t xml:space="preserve">Because there is one bread, we are one body — all partake of the one bread</w:t>
            </w:r>
          </w:p>
        </w:tc>
        <w:tc>
          <w:tcPr/>
          <w:p>
            <w:pPr>
              <w:pStyle w:val="Compact"/>
            </w:pPr>
            <w:r>
              <w:t xml:space="preserve">Corporate ecclesiology flows from Eucharistic unity; the Lord’s Table constitutes the body</w:t>
            </w:r>
          </w:p>
        </w:tc>
      </w:tr>
      <w:tr>
        <w:tc>
          <w:tcPr/>
          <w:p>
            <w:pPr>
              <w:pStyle w:val="Compact"/>
            </w:pPr>
            <w:r>
              <w:t xml:space="preserve">18</w:t>
            </w:r>
          </w:p>
        </w:tc>
        <w:tc>
          <w:tcPr/>
          <w:p>
            <w:pPr>
              <w:pStyle w:val="Compact"/>
            </w:pPr>
            <w:r>
              <w:t xml:space="preserve">Israel after the flesh: those who eat the sacrifices participate in the altar</w:t>
            </w:r>
          </w:p>
        </w:tc>
        <w:tc>
          <w:tcPr/>
          <w:p>
            <w:pPr>
              <w:pStyle w:val="Compact"/>
            </w:pPr>
            <w:r>
              <w:t xml:space="preserve">Old Testament analogy: temple sacrifice also involved genuine participation, not merely ceremony</w:t>
            </w:r>
          </w:p>
        </w:tc>
      </w:tr>
      <w:tr>
        <w:tc>
          <w:tcPr/>
          <w:p>
            <w:pPr>
              <w:pStyle w:val="Compact"/>
            </w:pPr>
            <w:r>
              <w:t xml:space="preserve">19–20</w:t>
            </w:r>
          </w:p>
        </w:tc>
        <w:tc>
          <w:tcPr/>
          <w:p>
            <w:pPr>
              <w:pStyle w:val="Compact"/>
            </w:pPr>
            <w:r>
              <w:t xml:space="preserve">An idol is nothing — but what pagans sacrifice, they sacrifice to demons, not to God; Paul does not want the Corinthians to be participants with demons</w:t>
            </w:r>
          </w:p>
        </w:tc>
        <w:tc>
          <w:tcPr/>
          <w:p>
            <w:pPr>
              <w:pStyle w:val="Compact"/>
            </w:pPr>
            <w:r>
              <w:t xml:space="preserve">The resolution of the apparent tension: the idol is ontologically nothing, but the practice is demonically loaded; the danger is participation, not the physical food</w:t>
            </w:r>
          </w:p>
        </w:tc>
      </w:tr>
      <w:tr>
        <w:tc>
          <w:tcPr/>
          <w:p>
            <w:pPr>
              <w:pStyle w:val="Compact"/>
            </w:pPr>
            <w:r>
              <w:t xml:space="preserve">21</w:t>
            </w:r>
          </w:p>
        </w:tc>
        <w:tc>
          <w:tcPr/>
          <w:p>
            <w:pPr>
              <w:pStyle w:val="Compact"/>
            </w:pPr>
            <w:r>
              <w:t xml:space="preserve">You cannot drink the cup of the Lord and the cup of demons; you cannot partake of the Lord’s table and the table of demons</w:t>
            </w:r>
          </w:p>
        </w:tc>
        <w:tc>
          <w:tcPr/>
          <w:p>
            <w:pPr>
              <w:pStyle w:val="Compact"/>
            </w:pPr>
            <w:r>
              <w:t xml:space="preserve">The mutually exclusive character of the two communions; the verb is</w:t>
            </w:r>
            <w:r>
              <w:t xml:space="preserve"> </w:t>
            </w:r>
            <w:r>
              <w:t xml:space="preserve">“cannot”</w:t>
            </w:r>
            <w:r>
              <w:t xml:space="preserve"> </w:t>
            </w:r>
            <w:r>
              <w:t xml:space="preserve">(dunasthe) — covenantal impossibility, not merely moral difficulty</w:t>
            </w:r>
          </w:p>
        </w:tc>
      </w:tr>
      <w:tr>
        <w:tc>
          <w:tcPr/>
          <w:p>
            <w:pPr>
              <w:pStyle w:val="Compact"/>
            </w:pPr>
            <w:r>
              <w:t xml:space="preserve">22</w:t>
            </w:r>
          </w:p>
        </w:tc>
        <w:tc>
          <w:tcPr/>
          <w:p>
            <w:pPr>
              <w:pStyle w:val="Compact"/>
            </w:pPr>
            <w:r>
              <w:t xml:space="preserve">Shall we provoke the Lord to jealousy? Are we stronger than He?</w:t>
            </w:r>
          </w:p>
        </w:tc>
        <w:tc>
          <w:tcPr/>
          <w:p>
            <w:pPr>
              <w:pStyle w:val="Compact"/>
            </w:pPr>
            <w:r>
              <w:t xml:space="preserve">Deuteronomy 32 echo; the language of jealousy is covenantal — God’s commitment to exclusive relationship with His people</w:t>
            </w:r>
          </w:p>
        </w:tc>
      </w:tr>
      <w:tr>
        <w:tc>
          <w:tcPr/>
          <w:p>
            <w:pPr>
              <w:pStyle w:val="Compact"/>
            </w:pPr>
            <w:r>
              <w:t xml:space="preserve">23–24</w:t>
            </w:r>
          </w:p>
        </w:tc>
        <w:tc>
          <w:tcPr/>
          <w:p>
            <w:pPr>
              <w:pStyle w:val="Compact"/>
            </w:pPr>
            <w:r>
              <w:t xml:space="preserve">“All things are lawful”</w:t>
            </w:r>
            <w:r>
              <w:t xml:space="preserve"> </w:t>
            </w:r>
            <w:r>
              <w:t xml:space="preserve">— but not all things are helpful or building; no one should seek his own good but the good of his neighbor</w:t>
            </w:r>
          </w:p>
        </w:tc>
        <w:tc>
          <w:tcPr/>
          <w:p>
            <w:pPr>
              <w:pStyle w:val="Compact"/>
            </w:pPr>
            <w:r>
              <w:t xml:space="preserve">Paul qualifies the Corinthian slogan; freedom is real but is not the final word; the other-orientation of love governs freedom</w:t>
            </w:r>
          </w:p>
        </w:tc>
      </w:tr>
      <w:tr>
        <w:tc>
          <w:tcPr/>
          <w:p>
            <w:pPr>
              <w:pStyle w:val="Compact"/>
            </w:pPr>
            <w:r>
              <w:t xml:space="preserve">25–26</w:t>
            </w:r>
          </w:p>
        </w:tc>
        <w:tc>
          <w:tcPr/>
          <w:p>
            <w:pPr>
              <w:pStyle w:val="Compact"/>
            </w:pPr>
            <w:r>
              <w:t xml:space="preserve">Eat anything sold in the marketplace without raising questions — for the earth is the Lord’s</w:t>
            </w:r>
          </w:p>
        </w:tc>
        <w:tc>
          <w:tcPr/>
          <w:p>
            <w:pPr>
              <w:pStyle w:val="Compact"/>
            </w:pPr>
            <w:r>
              <w:t xml:space="preserve">Psalm 24:1 applied: creation belongs to God; food purchased at market is not spiritually contaminated merely by its origin</w:t>
            </w:r>
          </w:p>
        </w:tc>
      </w:tr>
      <w:tr>
        <w:tc>
          <w:tcPr/>
          <w:p>
            <w:pPr>
              <w:pStyle w:val="Compact"/>
            </w:pPr>
            <w:r>
              <w:t xml:space="preserve">27</w:t>
            </w:r>
          </w:p>
        </w:tc>
        <w:tc>
          <w:tcPr/>
          <w:p>
            <w:pPr>
              <w:pStyle w:val="Compact"/>
            </w:pPr>
            <w:r>
              <w:t xml:space="preserve">If an unbeliever invites you and you wish to go, eat whatever is set before you without raising questions</w:t>
            </w:r>
          </w:p>
        </w:tc>
        <w:tc>
          <w:tcPr/>
          <w:p>
            <w:pPr>
              <w:pStyle w:val="Compact"/>
            </w:pPr>
            <w:r>
              <w:t xml:space="preserve">Social hospitality: freedom extends to meals in unbelieving homes</w:t>
            </w:r>
          </w:p>
        </w:tc>
      </w:tr>
      <w:tr>
        <w:tc>
          <w:tcPr/>
          <w:p>
            <w:pPr>
              <w:pStyle w:val="Compact"/>
            </w:pPr>
            <w:r>
              <w:t xml:space="preserve">28–29</w:t>
            </w:r>
          </w:p>
        </w:tc>
        <w:tc>
          <w:tcPr/>
          <w:p>
            <w:pPr>
              <w:pStyle w:val="Compact"/>
            </w:pPr>
            <w:r>
              <w:t xml:space="preserve">If someone tells you</w:t>
            </w:r>
            <w:r>
              <w:t xml:space="preserve"> </w:t>
            </w:r>
            <w:r>
              <w:t xml:space="preserve">“this has been offered in sacrifice,”</w:t>
            </w:r>
            <w:r>
              <w:t xml:space="preserve"> </w:t>
            </w:r>
            <w:r>
              <w:t xml:space="preserve">do not eat — for the sake of the one who informed you and for conscience’s sake</w:t>
            </w:r>
          </w:p>
        </w:tc>
        <w:tc>
          <w:tcPr/>
          <w:p>
            <w:pPr>
              <w:pStyle w:val="Compact"/>
            </w:pPr>
            <w:r>
              <w:t xml:space="preserve">The exception: information creates obligation; if eating would damage another’s conscience, abstain; the conscience in view is the weaker person’s, not your own</w:t>
            </w:r>
          </w:p>
        </w:tc>
      </w:tr>
      <w:tr>
        <w:tc>
          <w:tcPr/>
          <w:p>
            <w:pPr>
              <w:pStyle w:val="Compact"/>
            </w:pPr>
            <w:r>
              <w:t xml:space="preserve">29b–30</w:t>
            </w:r>
          </w:p>
        </w:tc>
        <w:tc>
          <w:tcPr/>
          <w:p>
            <w:pPr>
              <w:pStyle w:val="Compact"/>
            </w:pPr>
            <w:r>
              <w:t xml:space="preserve">Why should my freedom be determined by someone else’s conscience? If I partake with thankfulness, why am I condemned?</w:t>
            </w:r>
          </w:p>
        </w:tc>
        <w:tc>
          <w:tcPr/>
          <w:p>
            <w:pPr>
              <w:pStyle w:val="Compact"/>
            </w:pPr>
            <w:r>
              <w:t xml:space="preserve">Paul anticipates the objection from the</w:t>
            </w:r>
            <w:r>
              <w:t xml:space="preserve"> </w:t>
            </w:r>
            <w:r>
              <w:t xml:space="preserve">“strong”</w:t>
            </w:r>
            <w:r>
              <w:t xml:space="preserve">; he does not deny the legitimacy of freedom — he subordinates it to love and glory</w:t>
            </w:r>
          </w:p>
        </w:tc>
      </w:tr>
      <w:tr>
        <w:tc>
          <w:tcPr/>
          <w:p>
            <w:pPr>
              <w:pStyle w:val="Compact"/>
            </w:pPr>
            <w:r>
              <w:t xml:space="preserve">31</w:t>
            </w:r>
          </w:p>
        </w:tc>
        <w:tc>
          <w:tcPr/>
          <w:p>
            <w:pPr>
              <w:pStyle w:val="Compact"/>
            </w:pPr>
            <w:r>
              <w:t xml:space="preserve">Whether you eat or drink, or whatever you do, do all to the glory of God</w:t>
            </w:r>
          </w:p>
        </w:tc>
        <w:tc>
          <w:tcPr/>
          <w:p>
            <w:pPr>
              <w:pStyle w:val="Compact"/>
            </w:pPr>
            <w:r>
              <w:t xml:space="preserve">The governing principle: the glory of God is the final criterion for every act, including the most mundane</w:t>
            </w:r>
          </w:p>
        </w:tc>
      </w:tr>
      <w:tr>
        <w:tc>
          <w:tcPr/>
          <w:p>
            <w:pPr>
              <w:pStyle w:val="Compact"/>
            </w:pPr>
            <w:r>
              <w:t xml:space="preserve">32–33</w:t>
            </w:r>
          </w:p>
        </w:tc>
        <w:tc>
          <w:tcPr/>
          <w:p>
            <w:pPr>
              <w:pStyle w:val="Compact"/>
            </w:pPr>
            <w:r>
              <w:t xml:space="preserve">Give no offense to Jews, Greeks, or the church — as Paul seeks not his own advantage but the good of many, that they may be saved</w:t>
            </w:r>
          </w:p>
        </w:tc>
        <w:tc>
          <w:tcPr/>
          <w:p>
            <w:pPr>
              <w:pStyle w:val="Compact"/>
            </w:pPr>
            <w:r>
              <w:t xml:space="preserve">The apostolic model: Paul’s own life embodies the principle; the ultimate aim of other-orientation is salvation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Israel’s Covenant Privileges and Catastrophic Failure</w:t>
            </w:r>
          </w:p>
        </w:tc>
      </w:tr>
      <w:tr>
        <w:tc>
          <w:tcPr/>
          <w:p>
            <w:pPr>
              <w:pStyle w:val="Compact"/>
            </w:pPr>
            <w:r>
              <w:t xml:space="preserve">2</w:t>
            </w:r>
          </w:p>
        </w:tc>
        <w:tc>
          <w:tcPr/>
          <w:p>
            <w:pPr>
              <w:pStyle w:val="Compact"/>
            </w:pPr>
            <w:r>
              <w:t xml:space="preserve">6–13</w:t>
            </w:r>
          </w:p>
        </w:tc>
        <w:tc>
          <w:tcPr/>
          <w:p>
            <w:pPr>
              <w:pStyle w:val="Compact"/>
            </w:pPr>
            <w:r>
              <w:t xml:space="preserve">The Typological Warning: Four Sins, Four Judgments, One Faithful God</w:t>
            </w:r>
          </w:p>
        </w:tc>
      </w:tr>
      <w:tr>
        <w:tc>
          <w:tcPr/>
          <w:p>
            <w:pPr>
              <w:pStyle w:val="Compact"/>
            </w:pPr>
            <w:r>
              <w:t xml:space="preserve">3</w:t>
            </w:r>
          </w:p>
        </w:tc>
        <w:tc>
          <w:tcPr/>
          <w:p>
            <w:pPr>
              <w:pStyle w:val="Compact"/>
            </w:pPr>
            <w:r>
              <w:t xml:space="preserve">14–22</w:t>
            </w:r>
          </w:p>
        </w:tc>
        <w:tc>
          <w:tcPr/>
          <w:p>
            <w:pPr>
              <w:pStyle w:val="Compact"/>
            </w:pPr>
            <w:r>
              <w:t xml:space="preserve">Flee Idolatry: The Incompatible Communions</w:t>
            </w:r>
          </w:p>
        </w:tc>
      </w:tr>
      <w:tr>
        <w:tc>
          <w:tcPr/>
          <w:p>
            <w:pPr>
              <w:pStyle w:val="Compact"/>
            </w:pPr>
            <w:r>
              <w:t xml:space="preserve">4</w:t>
            </w:r>
          </w:p>
        </w:tc>
        <w:tc>
          <w:tcPr/>
          <w:p>
            <w:pPr>
              <w:pStyle w:val="Compact"/>
            </w:pPr>
            <w:r>
              <w:t xml:space="preserve">23–33</w:t>
            </w:r>
          </w:p>
        </w:tc>
        <w:tc>
          <w:tcPr/>
          <w:p>
            <w:pPr>
              <w:pStyle w:val="Compact"/>
            </w:pPr>
            <w:r>
              <w:t xml:space="preserve">Freedom, Love, and the Glory of God in Ordinary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wilderness failures warn the church: spiritual privilege never guarantees spiritual security.</w:t>
      </w:r>
    </w:p>
    <w:p>
      <w:pPr>
        <w:pStyle w:val="BodyText"/>
      </w:pPr>
      <w:r>
        <w:rPr>
          <w:b/>
          <w:bCs/>
        </w:rPr>
        <w:t xml:space="preserve">Primary Claim:</w:t>
      </w:r>
      <w:r>
        <w:t xml:space="preserve"> </w:t>
      </w:r>
      <w:r>
        <w:t xml:space="preserve">God is confronting the church’s presumption — calling His people to take idolatry seriously, handle freedom responsibly, and live every moment for His glory, confident not in their own standing but in His faithfulness to provide a way through.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“belonging to Christ”</w:t>
      </w:r>
      <w:r>
        <w:rPr>
          <w:b/>
          <w:bCs/>
        </w:rPr>
        <w:t xml:space="preserve"> </w:t>
      </w:r>
      <w:r>
        <w:rPr>
          <w:b/>
          <w:bCs/>
        </w:rPr>
        <w:t xml:space="preserve">means — it is not immunity, it is accountability.</w:t>
      </w:r>
      <w:r>
        <w:t xml:space="preserve"> </w:t>
      </w:r>
      <w:r>
        <w:rPr>
          <w:i/>
          <w:iCs/>
        </w:rPr>
        <w:t xml:space="preserve">(Mind/belief)</w:t>
      </w:r>
      <w:r>
        <w:t xml:space="preserve"> </w:t>
      </w:r>
      <w:r>
        <w:t xml:space="preserve">The Corinthians’ error was not doubting their election but weaponizing it. They had been baptized, they ate the Lord’s Supper, they were the people of God — and they concluded that these privileges protected them from the consequences of their choices. Paul’s typology dismantles this. Israel had the cloud, the sea, the manna, the rock — and the majority fell. The privileges of covenant membership do not confer invulnerability; they confer responsibility. What you have been given determines what you are accountable for. Hearing this passage correctly requires sitting with the discomfort of that reversal: you cannot use your union with Christ as a reason to take idolatry lightly. You use it as a reason to take it seriously.</w:t>
      </w:r>
    </w:p>
    <w:p>
      <w:pPr>
        <w:pStyle w:val="BodyText"/>
      </w:pPr>
      <w:r>
        <w:rPr>
          <w:b/>
          <w:bCs/>
        </w:rPr>
        <w:t xml:space="preserve">2. Identify the idol behind the question.</w:t>
      </w:r>
      <w:r>
        <w:t xml:space="preserve"> </w:t>
      </w:r>
      <w:r>
        <w:rPr>
          <w:i/>
          <w:iCs/>
        </w:rPr>
        <w:t xml:space="preserve">(Affections/worship)</w:t>
      </w:r>
      <w:r>
        <w:t xml:space="preserve"> </w:t>
      </w:r>
      <w:r>
        <w:t xml:space="preserve">Paul’s application of the typological warning is not abstract — it lands on a concrete behavior (eating idol food) that was, at its root, a worship problem. The Corinthians who were eating at the idol’s temple were not doing so out of theological confusion; they were doing so because something about social belonging, status, or freedom meant more to them than covenantal fidelity. The same dynamic operates in contemporary settings. The question is not merely</w:t>
      </w:r>
      <w:r>
        <w:t xml:space="preserve"> </w:t>
      </w:r>
      <w:r>
        <w:t xml:space="preserve">“what am I doing?”</w:t>
      </w:r>
      <w:r>
        <w:t xml:space="preserve"> </w:t>
      </w:r>
      <w:r>
        <w:t xml:space="preserve">but</w:t>
      </w:r>
      <w:r>
        <w:t xml:space="preserve"> </w:t>
      </w:r>
      <w:r>
        <w:t xml:space="preserve">“what does it show I love most?”</w:t>
      </w:r>
      <w:r>
        <w:t xml:space="preserve"> </w:t>
      </w:r>
      <w:r>
        <w:t xml:space="preserve">When we persist in behaviors that entangle us with what competes for God’s place in our life — when we rationalize, hedge, and negotiate instead of fleeing — we are not dealing with a behavioral problem. We are dealing with a worship problem. The application is not</w:t>
      </w:r>
      <w:r>
        <w:t xml:space="preserve"> </w:t>
      </w:r>
      <w:r>
        <w:t xml:space="preserve">“be more disciplined.”</w:t>
      </w:r>
      <w:r>
        <w:t xml:space="preserve"> </w:t>
      </w:r>
      <w:r>
        <w:t xml:space="preserve">It is</w:t>
      </w:r>
      <w:r>
        <w:t xml:space="preserve"> </w:t>
      </w:r>
      <w:r>
        <w:t xml:space="preserve">“what are you actually worshipping, and is it worth what it costs?”</w:t>
      </w:r>
    </w:p>
    <w:p>
      <w:pPr>
        <w:pStyle w:val="BodyText"/>
      </w:pPr>
      <w:r>
        <w:rPr>
          <w:b/>
          <w:bCs/>
        </w:rPr>
        <w:t xml:space="preserve">3. Practice the freedom you have been given — without demanding that others keep pace with you.</w:t>
      </w:r>
      <w:r>
        <w:t xml:space="preserve"> </w:t>
      </w:r>
      <w:r>
        <w:rPr>
          <w:i/>
          <w:iCs/>
        </w:rPr>
        <w:t xml:space="preserve">(Will/behavior)</w:t>
      </w:r>
      <w:r>
        <w:t xml:space="preserve"> </w:t>
      </w:r>
      <w:r>
        <w:t xml:space="preserve">Verses 23–30 contain a concrete behavioral instruction: eat freely — but when eating would damage another person’s conscience, don’t. This is not an invitation to endless self-restriction out of hypothetical sensitivity. Paul says clearly: buy what is sold in the market, accept what is served in a home, eat with thanksgiving. The freedom is real, and it is to be used. The constraint is specific: when another person’s conscience would be damaged by your conduct in their presence, your freedom is subordinated to their good. The behavioral application is specific: stop using your theological clarity as a reason to disregard the people around you who are weaker, newer, or more fragile. Use it to serve them.</w:t>
      </w:r>
    </w:p>
    <w:p>
      <w:pPr>
        <w:pStyle w:val="BodyText"/>
      </w:pPr>
      <w:r>
        <w:rPr>
          <w:b/>
          <w:bCs/>
        </w:rPr>
        <w:t xml:space="preserve">4. Let</w:t>
      </w:r>
      <w:r>
        <w:rPr>
          <w:b/>
          <w:bCs/>
        </w:rPr>
        <w:t xml:space="preserve"> </w:t>
      </w:r>
      <w:r>
        <w:rPr>
          <w:b/>
          <w:bCs/>
        </w:rPr>
        <w:t xml:space="preserve">“to the glory of God”</w:t>
      </w:r>
      <w:r>
        <w:rPr>
          <w:b/>
          <w:bCs/>
        </w:rPr>
        <w:t xml:space="preserve"> </w:t>
      </w:r>
      <w:r>
        <w:rPr>
          <w:b/>
          <w:bCs/>
        </w:rPr>
        <w:t xml:space="preserve">become a functional criterion, not a pious phrase.</w:t>
      </w:r>
      <w:r>
        <w:t xml:space="preserve"> </w:t>
      </w:r>
      <w:r>
        <w:rPr>
          <w:i/>
          <w:iCs/>
        </w:rPr>
        <w:t xml:space="preserve">(Mind/belief)</w:t>
      </w:r>
      <w:r>
        <w:t xml:space="preserve"> </w:t>
      </w:r>
      <w:r>
        <w:t xml:space="preserve">Verse 31 —</w:t>
      </w:r>
      <w:r>
        <w:t xml:space="preserve"> </w:t>
      </w:r>
      <w:r>
        <w:t xml:space="preserve">“whether you eat or drink, or whatever you do, do all to the glory of God”</w:t>
      </w:r>
      <w:r>
        <w:t xml:space="preserve"> </w:t>
      </w:r>
      <w:r>
        <w:t xml:space="preserve">— is regularly quoted and rarely practiced as the functional decision-making criterion Paul intends. This is not a sentiment to append to prayers. It is an evaluative question to apply to choices. When facing decisions about how to use your time, your money, your relationships, your freedoms, your words, the operative question is: will this display the worth of God, or will it demonstrate that something else matters more? The application here is cognitive reorientation: before decisions are made, not after they are rationalized. The glory of God is meant to be a criterion that actually changes outcomes, not a tag added after the decision has already been made on other grounds.</w:t>
      </w:r>
    </w:p>
    <w:p>
      <w:pPr>
        <w:pStyle w:val="BodyText"/>
      </w:pPr>
      <w:r>
        <w:rPr>
          <w:b/>
          <w:bCs/>
        </w:rPr>
        <w:t xml:space="preserve">5. Receive the promise of verse 13 as a weapon, not just a comfort.</w:t>
      </w:r>
      <w:r>
        <w:t xml:space="preserve"> </w:t>
      </w:r>
      <w:r>
        <w:rPr>
          <w:i/>
          <w:iCs/>
        </w:rPr>
        <w:t xml:space="preserve">(Affections/worship)</w:t>
      </w:r>
      <w:r>
        <w:t xml:space="preserve"> </w:t>
      </w:r>
      <w:r>
        <w:t xml:space="preserve">“God is faithful, and He will not let you be tempted beyond your ability, but with the temptation He will also provide the way of escape, that you may be able to endure it.”</w:t>
      </w:r>
      <w:r>
        <w:t xml:space="preserve"> </w:t>
      </w:r>
      <w:r>
        <w:t xml:space="preserve">This verse is often received as pastoral comfort for people who feel overwhelmed — which is legitimate. But in context, Paul deploys it as a weapon against presumption and despair simultaneously. The presumptuous Corinthians needed to hear: the temptation is real, it is capable of felling you, and you should treat it with that seriousness. The despairing should hear: God’s faithfulness is prior to your weakness, and He is already providing what you need to stand. The application is not</w:t>
      </w:r>
      <w:r>
        <w:t xml:space="preserve"> </w:t>
      </w:r>
      <w:r>
        <w:t xml:space="preserve">“feel better about your temptation.”</w:t>
      </w:r>
      <w:r>
        <w:t xml:space="preserve"> </w:t>
      </w:r>
      <w:r>
        <w:t xml:space="preserve">It is</w:t>
      </w:r>
      <w:r>
        <w:t xml:space="preserve"> </w:t>
      </w:r>
      <w:r>
        <w:t xml:space="preserve">“fight harder, with more confidence, because the faithfulness underwriting your endurance is not your 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governs His covenant community with both severe mercy and merciful severity — He judges presumption precisely because He is faithful to His covenant, not in spite of it. The typological argument reveals a theology of sacred privilege: the gifts of God (baptism, Eucharist, Word, Spirit) are never neutral — they either build up those who receive them rightly or they become the occasion of greater accountability. God’s jealousy, invoked in verse 22, is not an emotional vulnerability but a covenantal commitment: He will not share His people with what is no-god, because to do so would be to abandon them to what can only destroy them. The chapter also reveals that God’s faithfulness (v. 13) is not a background comfort but an active provision — He is working in every temptation to produce a way of endurance, which means the believer is never merely surviving circumstances but participating in God’s own sustaining work.</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Corinthians 10 is a masterclass in Reformed typological hermeneutics and a theologically significant witness to perseverance grounded in God’s faithfulness rather than human resolve. The passage resists two errors simultaneously: the hyper-Calvinist error that election eliminates the need for warning (</w:t>
      </w:r>
      <w:r>
        <w:t xml:space="preserve">“you will certainly persevere, so relax”</w:t>
      </w:r>
      <w:r>
        <w:t xml:space="preserve">), and the Arminian error that genuine warnings imply the possibility of losing one’s salvation from within the covenant. Paul’s warnings are genuine — they are the means by which God keeps His elect (</w:t>
      </w:r>
      <w:r>
        <w:t xml:space="preserve">“let anyone who thinks he stands take heed”</w:t>
      </w:r>
      <w:r>
        <w:t xml:space="preserve">) — and they are held together by the anchor of divine faithfulness (</w:t>
      </w:r>
      <w:r>
        <w:t xml:space="preserve">“God is faithful”</w:t>
      </w:r>
      <w:r>
        <w:t xml:space="preserve">). The Reformed doctrine of the perseverance of the saints is not the Corinthian doctrine of immunity; it is the doctrine that God will provide a way of escape — meaning His people persevere not because they cannot fall but because He will not fail. The Eucharistic theology of verses 16–22 grounds Reformed sacramental understanding: the Lord’s Table is genuine participation in Christ — koinōnia, not symbol — and the exclusivity of that communion is what makes idolatrous table fellowship covenantally treasonous.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people who fell in the wilderness had everything you have. Paul tells you this not to frighten you into paralysis but to wake you up from the deadly sleep of presumption. God is not impressed by your church attendance, your theology, or your freedom. He is calling you to flee idolatry, love your neighbor enough to limit yourself, and do every single thing — including eating lunch — for His glory. You can do this because He is faithful. You must do this because He is holy.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typological warning as historical interest rather than present danger.</w:t>
      </w:r>
      <w:r>
        <w:t xml:space="preserve"> </w:t>
      </w:r>
      <w:r>
        <w:t xml:space="preserve">The most common failure with verses 1–13 is to preach them as background information —</w:t>
      </w:r>
      <w:r>
        <w:t xml:space="preserve"> </w:t>
      </w:r>
      <w:r>
        <w:t xml:space="preserve">“this is what happened to Israel, isn’t that interesting”</w:t>
      </w:r>
      <w:r>
        <w:t xml:space="preserve"> </w:t>
      </w:r>
      <w:r>
        <w:t xml:space="preserve">— rather than as a present-tense alarm. Paul is not recounting history; he is firing a warning shot. The typology only functions if the preacher delivers it with the same urgency Paul intends:</w:t>
      </w:r>
      <w:r>
        <w:t xml:space="preserve"> </w:t>
      </w:r>
      <w:r>
        <w:rPr>
          <w:i/>
          <w:iCs/>
        </w:rPr>
        <w:t xml:space="preserve">you are in exactly the position they were in, and they fell</w:t>
      </w:r>
      <w:r>
        <w:t xml:space="preserve">. If the congregation feels mildly informed by the typology rather than genuinely sobered by it, the passage has been missed.</w:t>
      </w:r>
    </w:p>
    <w:p>
      <w:pPr>
        <w:numPr>
          <w:ilvl w:val="0"/>
          <w:numId w:val="1002"/>
        </w:numPr>
      </w:pPr>
      <w:r>
        <w:rPr>
          <w:b/>
          <w:bCs/>
        </w:rPr>
        <w:t xml:space="preserve">Extracting verse 13 from its warning context and using it as a standalone comfort.</w:t>
      </w:r>
      <w:r>
        <w:t xml:space="preserve"> </w:t>
      </w:r>
      <w:r>
        <w:t xml:space="preserve">“God is faithful, and He will not let you be tempted beyond your ability”</w:t>
      </w:r>
      <w:r>
        <w:t xml:space="preserve"> </w:t>
      </w:r>
      <w:r>
        <w:t xml:space="preserve">is among the most frequently decontextualized verses in the Pauline corpus. In context, it is not primarily a pastoral balm for overwhelmed people — it is part of a warning against presumption. The comfort is real, but it functions within the warning structure, not as a replacement for it. Preaching verse 13 in isolation produces a congregation that feels reassured about the same temptations Paul is calling them to flee.</w:t>
      </w:r>
    </w:p>
    <w:p>
      <w:pPr>
        <w:numPr>
          <w:ilvl w:val="0"/>
          <w:numId w:val="1002"/>
        </w:numPr>
      </w:pPr>
      <w:r>
        <w:rPr>
          <w:b/>
          <w:bCs/>
        </w:rPr>
        <w:t xml:space="preserve">Collapsing the idol-food section into a generic</w:t>
      </w:r>
      <w:r>
        <w:rPr>
          <w:b/>
          <w:bCs/>
        </w:rPr>
        <w:t xml:space="preserve"> </w:t>
      </w:r>
      <w:r>
        <w:rPr>
          <w:b/>
          <w:bCs/>
        </w:rPr>
        <w:t xml:space="preserve">“be sensitive to weaker brothers”</w:t>
      </w:r>
      <w:r>
        <w:rPr>
          <w:b/>
          <w:bCs/>
        </w:rPr>
        <w:t xml:space="preserve"> </w:t>
      </w:r>
      <w:r>
        <w:rPr>
          <w:b/>
          <w:bCs/>
        </w:rPr>
        <w:t xml:space="preserve">lesson.</w:t>
      </w:r>
      <w:r>
        <w:t xml:space="preserve"> </w:t>
      </w:r>
      <w:r>
        <w:t xml:space="preserve">The passage moves in two distinct registers: verses 14–22 constitute a near-absolute prohibition (you</w:t>
      </w:r>
      <w:r>
        <w:t xml:space="preserve"> </w:t>
      </w:r>
      <w:r>
        <w:rPr>
          <w:i/>
          <w:iCs/>
        </w:rPr>
        <w:t xml:space="preserve">cannot</w:t>
      </w:r>
      <w:r>
        <w:t xml:space="preserve"> </w:t>
      </w:r>
      <w:r>
        <w:t xml:space="preserve">participate at the idol’s table), while verses 23–33 address the ordinary marketplace question with genuine freedom. Collapsing these two sections produces a passage that reads as</w:t>
      </w:r>
      <w:r>
        <w:t xml:space="preserve"> </w:t>
      </w:r>
      <w:r>
        <w:t xml:space="preserve">“be careful about idol food”</w:t>
      </w:r>
      <w:r>
        <w:t xml:space="preserve"> </w:t>
      </w:r>
      <w:r>
        <w:t xml:space="preserve">— a social decorum lesson. The Eucharistic theology of verses 16–22 has to be preserved in its force: this is about competing communions, not just competing opinions. The gravity of</w:t>
      </w:r>
      <w:r>
        <w:t xml:space="preserve"> </w:t>
      </w:r>
      <w:r>
        <w:t xml:space="preserve">“you cannot drink the cup of the Lord and the cup of demons”</w:t>
      </w:r>
      <w:r>
        <w:t xml:space="preserve"> </w:t>
      </w:r>
      <w:r>
        <w:t xml:space="preserve">must not be softened into</w:t>
      </w:r>
      <w:r>
        <w:t xml:space="preserve"> </w:t>
      </w:r>
      <w:r>
        <w:t xml:space="preserve">“be thoughtful about your choices.”</w:t>
      </w:r>
    </w:p>
    <w:p>
      <w:pPr>
        <w:numPr>
          <w:ilvl w:val="0"/>
          <w:numId w:val="1002"/>
        </w:numPr>
      </w:pPr>
      <w:r>
        <w:rPr>
          <w:b/>
          <w:bCs/>
        </w:rPr>
        <w:t xml:space="preserve">Preaching verse 31 as a moralizing capstone without grounding it in the Primary Claim.</w:t>
      </w:r>
      <w:r>
        <w:t xml:space="preserve"> </w:t>
      </w:r>
      <w:r>
        <w:t xml:space="preserve">“Do all to the glory of God”</w:t>
      </w:r>
      <w:r>
        <w:t xml:space="preserve"> </w:t>
      </w:r>
      <w:r>
        <w:t xml:space="preserve">is a powerful principle, but detached from the argument of the chapter it becomes another duty-addition to an already burdened congregation. In context, it is the</w:t>
      </w:r>
      <w:r>
        <w:t xml:space="preserve"> </w:t>
      </w:r>
      <w:r>
        <w:rPr>
          <w:i/>
          <w:iCs/>
        </w:rPr>
        <w:t xml:space="preserve">resolution</w:t>
      </w:r>
      <w:r>
        <w:t xml:space="preserve"> </w:t>
      </w:r>
      <w:r>
        <w:t xml:space="preserve">of the entire chapter’s argument: the way through idolatry, the way through freedom debates, the way through social complexity is the governing aim of God’s glory. It is not a new burden — it is the single frame that makes all the other decisions tractable. Preach it as the key that unlocks the chapter, not as a final exhortation tacked on at the end.</w:t>
      </w:r>
    </w:p>
    <w:p>
      <w:pPr>
        <w:numPr>
          <w:ilvl w:val="0"/>
          <w:numId w:val="1002"/>
        </w:numPr>
      </w:pPr>
      <w:r>
        <w:rPr>
          <w:b/>
          <w:bCs/>
        </w:rPr>
        <w:t xml:space="preserve">Missing the Christological weight of</w:t>
      </w:r>
      <w:r>
        <w:rPr>
          <w:b/>
          <w:bCs/>
        </w:rPr>
        <w:t xml:space="preserve"> </w:t>
      </w:r>
      <w:r>
        <w:rPr>
          <w:b/>
          <w:bCs/>
        </w:rPr>
        <w:t xml:space="preserve">“the rock was Christ”</w:t>
      </w:r>
      <w:r>
        <w:rPr>
          <w:b/>
          <w:bCs/>
        </w:rPr>
        <w:t xml:space="preserve"> </w:t>
      </w:r>
      <w:r>
        <w:rPr>
          <w:b/>
          <w:bCs/>
        </w:rPr>
        <w:t xml:space="preserve">(v. 4).</w:t>
      </w:r>
      <w:r>
        <w:t xml:space="preserve"> </w:t>
      </w:r>
      <w:r>
        <w:t xml:space="preserve">Preachers who treat this as a minor typological flourish miss Paul’s governing assumption: the covenantal continuity between Israel and the church is grounded in</w:t>
      </w:r>
      <w:r>
        <w:t xml:space="preserve"> </w:t>
      </w:r>
      <w:r>
        <w:rPr>
          <w:i/>
          <w:iCs/>
        </w:rPr>
        <w:t xml:space="preserve">the same Christ</w:t>
      </w:r>
      <w:r>
        <w:t xml:space="preserve">. Israel did not have a different savior on the way to the real one. They drank from Christ. This means the Corinthians’ situation is not</w:t>
      </w:r>
      <w:r>
        <w:t xml:space="preserve"> </w:t>
      </w:r>
      <w:r>
        <w:rPr>
          <w:i/>
          <w:iCs/>
        </w:rPr>
        <w:t xml:space="preserve">analogous</w:t>
      </w:r>
      <w:r>
        <w:t xml:space="preserve"> </w:t>
      </w:r>
      <w:r>
        <w:t xml:space="preserve">to Israel’s — it is</w:t>
      </w:r>
      <w:r>
        <w:t xml:space="preserve"> </w:t>
      </w:r>
      <w:r>
        <w:rPr>
          <w:i/>
          <w:iCs/>
        </w:rPr>
        <w:t xml:space="preserve">identical</w:t>
      </w:r>
      <w:r>
        <w:t xml:space="preserve"> </w:t>
      </w:r>
      <w:r>
        <w:t xml:space="preserve">in kind. The same Christ who sustained Israel in the wilderness and then judged their idolatry is the same Christ at whose table the Corinthians eat. The typology has bite precisely because the subject of both communions is the same Person.</w:t>
      </w:r>
    </w:p>
    <w:p>
      <w:pPr>
        <w:numPr>
          <w:ilvl w:val="0"/>
          <w:numId w:val="1002"/>
        </w:numPr>
      </w:pPr>
      <w:r>
        <w:rPr>
          <w:b/>
          <w:bCs/>
        </w:rPr>
        <w:t xml:space="preserve">Allowing the</w:t>
      </w:r>
      <w:r>
        <w:rPr>
          <w:b/>
          <w:bCs/>
        </w:rPr>
        <w:t xml:space="preserve"> </w:t>
      </w:r>
      <w:r>
        <w:rPr>
          <w:b/>
          <w:bCs/>
        </w:rPr>
        <w:t xml:space="preserve">“all things are lawful”</w:t>
      </w:r>
      <w:r>
        <w:rPr>
          <w:b/>
          <w:bCs/>
        </w:rPr>
        <w:t xml:space="preserve"> </w:t>
      </w:r>
      <w:r>
        <w:rPr>
          <w:b/>
          <w:bCs/>
        </w:rPr>
        <w:t xml:space="preserve">section to become a freedom sermon.</w:t>
      </w:r>
      <w:r>
        <w:t xml:space="preserve"> </w:t>
      </w:r>
      <w:r>
        <w:t xml:space="preserve">Verses 23–33 can easily be preached as a celebration of Christian liberty with mild qualifications. But Paul’s argument is not</w:t>
      </w:r>
      <w:r>
        <w:t xml:space="preserve"> </w:t>
      </w:r>
      <w:r>
        <w:t xml:space="preserve">“freedom is the main thing, here are some edges to be aware of.”</w:t>
      </w:r>
      <w:r>
        <w:t xml:space="preserve"> </w:t>
      </w:r>
      <w:r>
        <w:t xml:space="preserve">The main thing in the closing section is the glory of God and the good of the neighbor — freedom is the raw material, not the point. A freedom sermon celebrates the liberty; a glorification sermon subordinates the liberty to the one thing for which all things exist. This passage requires the latter.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2026-07-14T21:07:58Z</dcterms:created>
  <dcterms:modified xsi:type="dcterms:W3CDTF">2026-07-14T21:07:58Z</dcterms:modified>
</cp:coreProperties>
</file>

<file path=docProps/custom.xml><?xml version="1.0" encoding="utf-8"?>
<Properties xmlns="http://schemas.openxmlformats.org/officeDocument/2006/custom-properties" xmlns:vt="http://schemas.openxmlformats.org/officeDocument/2006/docPropsVTypes"/>
</file>